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081" w:rsidRPr="007B7FD4" w:rsidRDefault="002B605F" w:rsidP="00D950AA">
      <w:pPr>
        <w:spacing w:line="276" w:lineRule="auto"/>
        <w:rPr>
          <w:rFonts w:asciiTheme="minorHAnsi" w:hAnsiTheme="minorHAnsi" w:cstheme="minorHAnsi"/>
          <w:b/>
          <w:sz w:val="22"/>
          <w:szCs w:val="22"/>
        </w:rPr>
      </w:pPr>
      <w:r>
        <w:rPr>
          <w:rFonts w:asciiTheme="minorHAnsi" w:hAnsiTheme="minorHAnsi" w:cstheme="minorHAnsi"/>
          <w:b/>
          <w:sz w:val="22"/>
          <w:szCs w:val="22"/>
        </w:rPr>
        <w:t>Regionale lesdag</w:t>
      </w:r>
      <w:r w:rsidR="00EE1081" w:rsidRPr="007B7FD4">
        <w:rPr>
          <w:rFonts w:asciiTheme="minorHAnsi" w:hAnsiTheme="minorHAnsi" w:cstheme="minorHAnsi"/>
          <w:b/>
          <w:sz w:val="22"/>
          <w:szCs w:val="22"/>
        </w:rPr>
        <w:t xml:space="preserve"> </w:t>
      </w:r>
      <w:r>
        <w:rPr>
          <w:rFonts w:asciiTheme="minorHAnsi" w:hAnsiTheme="minorHAnsi" w:cstheme="minorHAnsi"/>
          <w:b/>
          <w:sz w:val="22"/>
          <w:szCs w:val="22"/>
        </w:rPr>
        <w:t>2018-2 Traumatologie</w:t>
      </w:r>
      <w:r w:rsidR="006F7BF4" w:rsidRPr="007B7FD4">
        <w:rPr>
          <w:rFonts w:asciiTheme="minorHAnsi" w:hAnsiTheme="minorHAnsi" w:cstheme="minorHAnsi"/>
          <w:b/>
          <w:sz w:val="22"/>
          <w:szCs w:val="22"/>
        </w:rPr>
        <w:tab/>
      </w:r>
    </w:p>
    <w:p w:rsidR="00EE1081" w:rsidRPr="007B7FD4" w:rsidRDefault="00EE1081" w:rsidP="00D950AA">
      <w:pPr>
        <w:spacing w:line="276" w:lineRule="auto"/>
        <w:rPr>
          <w:rFonts w:asciiTheme="minorHAnsi" w:hAnsiTheme="minorHAnsi" w:cstheme="minorHAnsi"/>
          <w:b/>
          <w:sz w:val="22"/>
          <w:szCs w:val="22"/>
        </w:rPr>
      </w:pPr>
    </w:p>
    <w:p w:rsidR="006F7BF4" w:rsidRPr="007B7FD4"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t>Ambulanceverpleegkundigen RAVHM</w:t>
      </w:r>
    </w:p>
    <w:p w:rsidR="006F7BF4" w:rsidRPr="007B7FD4" w:rsidRDefault="006F7BF4" w:rsidP="00D950AA">
      <w:pPr>
        <w:spacing w:line="276" w:lineRule="auto"/>
        <w:rPr>
          <w:rFonts w:asciiTheme="minorHAnsi" w:hAnsiTheme="minorHAnsi" w:cstheme="minorHAnsi"/>
          <w:b/>
          <w:sz w:val="22"/>
          <w:szCs w:val="22"/>
        </w:rPr>
      </w:pPr>
    </w:p>
    <w:p w:rsidR="002B605F"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rsidR="002B605F" w:rsidRDefault="002B605F" w:rsidP="006F7BF4">
      <w:pPr>
        <w:spacing w:line="276" w:lineRule="auto"/>
        <w:rPr>
          <w:rFonts w:asciiTheme="minorHAnsi" w:hAnsiTheme="minorHAnsi" w:cstheme="minorHAnsi"/>
          <w:sz w:val="22"/>
          <w:szCs w:val="22"/>
        </w:rPr>
      </w:pPr>
      <w:r>
        <w:rPr>
          <w:rFonts w:asciiTheme="minorHAnsi" w:hAnsiTheme="minorHAnsi" w:cstheme="minorHAnsi"/>
          <w:sz w:val="22"/>
          <w:szCs w:val="22"/>
        </w:rPr>
        <w:t xml:space="preserve">Volgens het ROC activiteitenplan van 2018 is dit jaar het onderwerp ‘Traumatologie’ aan de orde. Ter voorbereiding van deze lesdag is input gevraagd van de afdeling Onderzoek &amp; Ontwikkeling, Medisch Manager Ambulancezorg en diverse ketenpartners. De evaluaties van de vorige lesdag Traumatologie zijn in de voorbereiding meegenomen. Alle input tezamen zorgt voor een gevarieerd aanbod waarbij door de kerninstructeurs passende werkvormen zijn gezocht. </w:t>
      </w:r>
    </w:p>
    <w:p w:rsidR="00A40F73" w:rsidRDefault="002B605F" w:rsidP="006F7BF4">
      <w:pPr>
        <w:spacing w:line="276" w:lineRule="auto"/>
        <w:rPr>
          <w:rFonts w:asciiTheme="minorHAnsi" w:hAnsiTheme="minorHAnsi" w:cstheme="minorHAnsi"/>
          <w:sz w:val="22"/>
          <w:szCs w:val="22"/>
        </w:rPr>
      </w:pPr>
      <w:r>
        <w:rPr>
          <w:rFonts w:asciiTheme="minorHAnsi" w:hAnsiTheme="minorHAnsi" w:cstheme="minorHAnsi"/>
          <w:sz w:val="22"/>
          <w:szCs w:val="22"/>
        </w:rPr>
        <w:t>Kennis met betrekking tot zorgverlening aan patiënten met (vermoeden) traumatisch letsel is voor de ambulancehulpverlener van groot belang omdat zij hier in hun dagelijkse beroepsbeoefening mee in aanraking komen.</w:t>
      </w:r>
      <w:r w:rsidR="009144D8">
        <w:rPr>
          <w:rFonts w:asciiTheme="minorHAnsi" w:hAnsiTheme="minorHAnsi" w:cstheme="minorHAnsi"/>
          <w:sz w:val="22"/>
          <w:szCs w:val="22"/>
        </w:rPr>
        <w:t xml:space="preserve"> Bij de ontwikkeling van deze lesdag zijn diverse bronnen gebruikt</w:t>
      </w:r>
      <w:r w:rsidR="00A40F73">
        <w:rPr>
          <w:rFonts w:asciiTheme="minorHAnsi" w:hAnsiTheme="minorHAnsi" w:cstheme="minorHAnsi"/>
          <w:sz w:val="22"/>
          <w:szCs w:val="22"/>
        </w:rPr>
        <w:t xml:space="preserve">. Deze bronnen </w:t>
      </w:r>
      <w:r w:rsidR="009144D8">
        <w:rPr>
          <w:rFonts w:asciiTheme="minorHAnsi" w:hAnsiTheme="minorHAnsi" w:cstheme="minorHAnsi"/>
          <w:sz w:val="22"/>
          <w:szCs w:val="22"/>
        </w:rPr>
        <w:t xml:space="preserve"> worden</w:t>
      </w:r>
      <w:r w:rsidR="00A40F73">
        <w:rPr>
          <w:rFonts w:asciiTheme="minorHAnsi" w:hAnsiTheme="minorHAnsi" w:cstheme="minorHAnsi"/>
          <w:sz w:val="22"/>
          <w:szCs w:val="22"/>
        </w:rPr>
        <w:t xml:space="preserve"> vermeld</w:t>
      </w:r>
      <w:r w:rsidR="009144D8">
        <w:rPr>
          <w:rFonts w:asciiTheme="minorHAnsi" w:hAnsiTheme="minorHAnsi" w:cstheme="minorHAnsi"/>
          <w:sz w:val="22"/>
          <w:szCs w:val="22"/>
        </w:rPr>
        <w:t xml:space="preserve"> in de instructeurshandleiding.</w:t>
      </w:r>
    </w:p>
    <w:p w:rsidR="009144D8" w:rsidRPr="009144D8" w:rsidRDefault="009144D8" w:rsidP="006F7BF4">
      <w:pPr>
        <w:spacing w:line="276" w:lineRule="auto"/>
        <w:rPr>
          <w:rFonts w:asciiTheme="minorHAnsi" w:hAnsiTheme="minorHAnsi" w:cstheme="minorHAnsi"/>
          <w:sz w:val="22"/>
          <w:szCs w:val="22"/>
        </w:rPr>
      </w:pPr>
    </w:p>
    <w:p w:rsidR="002B605F" w:rsidRPr="002B605F" w:rsidRDefault="002B605F" w:rsidP="002B605F">
      <w:pPr>
        <w:spacing w:line="276" w:lineRule="auto"/>
        <w:rPr>
          <w:rFonts w:asciiTheme="minorHAnsi" w:hAnsiTheme="minorHAnsi" w:cstheme="minorHAnsi"/>
          <w:b/>
          <w:sz w:val="22"/>
          <w:szCs w:val="22"/>
        </w:rPr>
      </w:pPr>
      <w:r w:rsidRPr="002B605F">
        <w:rPr>
          <w:rFonts w:asciiTheme="minorHAnsi" w:hAnsiTheme="minorHAnsi" w:cstheme="minorHAnsi"/>
          <w:b/>
          <w:sz w:val="22"/>
          <w:szCs w:val="22"/>
        </w:rPr>
        <w:t>Algemeen leerdoel:</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De ambulancehulpverlener is in staat om CRM principes en landelijke protocollen (LPA8.1) en richtlijnen toe te passen tijdens de zorgverlening aan patiënt met (verdenking) traumatisch letsel.</w:t>
      </w:r>
    </w:p>
    <w:p w:rsidR="002B605F" w:rsidRPr="002B605F" w:rsidRDefault="002B605F" w:rsidP="002B605F">
      <w:pPr>
        <w:spacing w:line="276" w:lineRule="auto"/>
        <w:rPr>
          <w:rFonts w:asciiTheme="minorHAnsi" w:hAnsiTheme="minorHAnsi" w:cstheme="minorHAnsi"/>
          <w:b/>
          <w:sz w:val="22"/>
          <w:szCs w:val="22"/>
        </w:rPr>
      </w:pPr>
    </w:p>
    <w:p w:rsidR="002B605F" w:rsidRPr="002B605F" w:rsidRDefault="002B605F" w:rsidP="002B605F">
      <w:pPr>
        <w:spacing w:line="276" w:lineRule="auto"/>
        <w:rPr>
          <w:rFonts w:asciiTheme="minorHAnsi" w:hAnsiTheme="minorHAnsi" w:cstheme="minorHAnsi"/>
          <w:b/>
          <w:sz w:val="22"/>
          <w:szCs w:val="22"/>
        </w:rPr>
      </w:pPr>
      <w:r w:rsidRPr="002B605F">
        <w:rPr>
          <w:rFonts w:asciiTheme="minorHAnsi" w:hAnsiTheme="minorHAnsi" w:cstheme="minorHAnsi"/>
          <w:b/>
          <w:sz w:val="22"/>
          <w:szCs w:val="22"/>
        </w:rPr>
        <w:t>Subdoelen:</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De deelnemer:</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kan feedback geven en ontvangen</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is op de hoogte van veiligheidsaspecten bij moderne voertuigen</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 xml:space="preserve">kan de </w:t>
      </w:r>
      <w:proofErr w:type="spellStart"/>
      <w:r w:rsidRPr="002B605F">
        <w:rPr>
          <w:rFonts w:asciiTheme="minorHAnsi" w:hAnsiTheme="minorHAnsi" w:cstheme="minorHAnsi"/>
          <w:sz w:val="22"/>
          <w:szCs w:val="22"/>
        </w:rPr>
        <w:t>Primary</w:t>
      </w:r>
      <w:proofErr w:type="spellEnd"/>
      <w:r w:rsidRPr="002B605F">
        <w:rPr>
          <w:rFonts w:asciiTheme="minorHAnsi" w:hAnsiTheme="minorHAnsi" w:cstheme="minorHAnsi"/>
          <w:sz w:val="22"/>
          <w:szCs w:val="22"/>
        </w:rPr>
        <w:t xml:space="preserve"> survey toepassen</w:t>
      </w:r>
    </w:p>
    <w:p w:rsidR="002B605F" w:rsidRPr="002B605F" w:rsidRDefault="002B605F" w:rsidP="002B605F">
      <w:pPr>
        <w:spacing w:line="276" w:lineRule="auto"/>
        <w:ind w:left="705" w:hanging="705"/>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kan diverse verrichtingen uitvoeren die tijdens de zorgverlening aan traumapatiënt relevant kunnen zijn</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is op de hoogte van de pathofysiologie bij trauma van de thorax</w:t>
      </w:r>
    </w:p>
    <w:p w:rsidR="002B605F" w:rsidRPr="002B605F"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kent de afspraken bij Incident management</w:t>
      </w:r>
    </w:p>
    <w:p w:rsidR="00F436D6" w:rsidRDefault="002B605F" w:rsidP="002B605F">
      <w:pPr>
        <w:spacing w:line="276" w:lineRule="auto"/>
        <w:rPr>
          <w:rFonts w:asciiTheme="minorHAnsi" w:hAnsiTheme="minorHAnsi" w:cstheme="minorHAnsi"/>
          <w:sz w:val="22"/>
          <w:szCs w:val="22"/>
        </w:rPr>
      </w:pPr>
      <w:r w:rsidRPr="002B605F">
        <w:rPr>
          <w:rFonts w:asciiTheme="minorHAnsi" w:hAnsiTheme="minorHAnsi" w:cstheme="minorHAnsi"/>
          <w:sz w:val="22"/>
          <w:szCs w:val="22"/>
        </w:rPr>
        <w:t>-</w:t>
      </w:r>
      <w:r w:rsidRPr="002B605F">
        <w:rPr>
          <w:rFonts w:asciiTheme="minorHAnsi" w:hAnsiTheme="minorHAnsi" w:cstheme="minorHAnsi"/>
          <w:sz w:val="22"/>
          <w:szCs w:val="22"/>
        </w:rPr>
        <w:tab/>
        <w:t>kan zorg verlenen aan de patiënt met een fractuur en/of luxatie.</w:t>
      </w:r>
    </w:p>
    <w:p w:rsidR="002B605F" w:rsidRPr="002B605F" w:rsidRDefault="002B605F" w:rsidP="002B605F">
      <w:pPr>
        <w:spacing w:line="276" w:lineRule="auto"/>
        <w:rPr>
          <w:rFonts w:asciiTheme="minorHAnsi" w:hAnsiTheme="minorHAnsi" w:cstheme="minorHAnsi"/>
          <w:sz w:val="22"/>
          <w:szCs w:val="22"/>
        </w:rPr>
      </w:pPr>
    </w:p>
    <w:p w:rsidR="00D950AA" w:rsidRPr="007B7FD4" w:rsidRDefault="00D950AA"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Toekenning punten KR V&amp;V (maximaal 6 per lesdag):</w:t>
      </w:r>
      <w:r w:rsidR="0085429F" w:rsidRPr="007B7FD4">
        <w:rPr>
          <w:rFonts w:asciiTheme="minorHAnsi" w:hAnsiTheme="minorHAnsi" w:cstheme="minorHAnsi"/>
          <w:b/>
          <w:sz w:val="22"/>
          <w:szCs w:val="22"/>
        </w:rPr>
        <w:tab/>
        <w:t>6 punten</w:t>
      </w:r>
      <w:r w:rsidRPr="007B7FD4">
        <w:rPr>
          <w:rFonts w:asciiTheme="minorHAnsi" w:hAnsiTheme="minorHAnsi" w:cstheme="minorHAnsi"/>
          <w:b/>
          <w:sz w:val="22"/>
          <w:szCs w:val="22"/>
        </w:rPr>
        <w:br/>
      </w:r>
    </w:p>
    <w:p w:rsidR="00D950AA" w:rsidRPr="007B7FD4" w:rsidRDefault="00D950AA" w:rsidP="00D950AA">
      <w:p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 xml:space="preserve">De 7 </w:t>
      </w:r>
      <w:proofErr w:type="spellStart"/>
      <w:r w:rsidRPr="007B7FD4">
        <w:rPr>
          <w:rFonts w:asciiTheme="minorHAnsi" w:eastAsia="Times New Roman" w:hAnsiTheme="minorHAnsi" w:cstheme="minorHAnsi"/>
          <w:sz w:val="22"/>
          <w:szCs w:val="22"/>
        </w:rPr>
        <w:t>CanMEDS</w:t>
      </w:r>
      <w:proofErr w:type="spellEnd"/>
      <w:r w:rsidRPr="007B7FD4">
        <w:rPr>
          <w:rFonts w:asciiTheme="minorHAnsi" w:eastAsia="Times New Roman" w:hAnsiTheme="minorHAnsi" w:cstheme="minorHAnsi"/>
          <w:sz w:val="22"/>
          <w:szCs w:val="22"/>
        </w:rPr>
        <w:t xml:space="preserve"> competentiegebieden zijn</w:t>
      </w:r>
      <w:r w:rsidR="0085429F" w:rsidRPr="007B7FD4">
        <w:rPr>
          <w:rFonts w:asciiTheme="minorHAnsi" w:eastAsia="Times New Roman" w:hAnsiTheme="minorHAnsi" w:cstheme="minorHAnsi"/>
          <w:sz w:val="22"/>
          <w:szCs w:val="22"/>
        </w:rPr>
        <w:tab/>
        <w:t>%</w:t>
      </w:r>
      <w:r w:rsidR="001B4B2B">
        <w:rPr>
          <w:rFonts w:asciiTheme="minorHAnsi" w:eastAsia="Times New Roman" w:hAnsiTheme="minorHAnsi" w:cstheme="minorHAnsi"/>
          <w:sz w:val="22"/>
          <w:szCs w:val="22"/>
        </w:rPr>
        <w:t xml:space="preserve"> (max 3)</w:t>
      </w:r>
    </w:p>
    <w:p w:rsidR="00D950AA" w:rsidRPr="007B7FD4" w:rsidRDefault="00D950AA" w:rsidP="00D950AA">
      <w:pPr>
        <w:spacing w:line="276" w:lineRule="auto"/>
        <w:rPr>
          <w:rFonts w:asciiTheme="minorHAnsi" w:eastAsia="Times New Roman" w:hAnsiTheme="minorHAnsi" w:cstheme="minorHAnsi"/>
          <w:sz w:val="22"/>
          <w:szCs w:val="22"/>
        </w:rPr>
      </w:pP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Klinisch (vakinhoudelijk) handelen</w:t>
      </w:r>
      <w:r w:rsidRPr="007B7FD4">
        <w:rPr>
          <w:rFonts w:asciiTheme="minorHAnsi" w:eastAsia="Times New Roman" w:hAnsiTheme="minorHAnsi" w:cstheme="minorHAnsi"/>
          <w:sz w:val="22"/>
          <w:szCs w:val="22"/>
        </w:rPr>
        <w:tab/>
      </w:r>
      <w:r w:rsidR="00574485">
        <w:rPr>
          <w:rFonts w:asciiTheme="minorHAnsi" w:eastAsia="Times New Roman" w:hAnsiTheme="minorHAnsi" w:cstheme="minorHAnsi"/>
          <w:sz w:val="22"/>
          <w:szCs w:val="22"/>
        </w:rPr>
        <w:t>40%</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Communicatie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Samenwerking</w:t>
      </w:r>
      <w:r w:rsidRPr="007B7FD4">
        <w:rPr>
          <w:rFonts w:asciiTheme="minorHAnsi" w:eastAsia="Times New Roman" w:hAnsiTheme="minorHAnsi" w:cstheme="minorHAnsi"/>
          <w:sz w:val="22"/>
          <w:szCs w:val="22"/>
        </w:rPr>
        <w:tab/>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w:t>
      </w:r>
      <w:r w:rsidR="00FB1207">
        <w:rPr>
          <w:rFonts w:asciiTheme="minorHAnsi" w:eastAsia="Times New Roman" w:hAnsiTheme="minorHAnsi" w:cstheme="minorHAnsi"/>
          <w:sz w:val="22"/>
          <w:szCs w:val="22"/>
        </w:rPr>
        <w:tab/>
      </w:r>
    </w:p>
    <w:p w:rsidR="001B4B2B" w:rsidRDefault="001B4B2B" w:rsidP="00D950AA">
      <w:pPr>
        <w:numPr>
          <w:ilvl w:val="0"/>
          <w:numId w:val="2"/>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Organisatie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Maatschappelijk handelen</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Kennis en wetenschap</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574485">
        <w:rPr>
          <w:rFonts w:asciiTheme="minorHAnsi" w:eastAsia="Times New Roman" w:hAnsiTheme="minorHAnsi" w:cstheme="minorHAnsi"/>
          <w:sz w:val="22"/>
          <w:szCs w:val="22"/>
        </w:rPr>
        <w:t>20%</w:t>
      </w:r>
      <w:r w:rsidR="00FB1207">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Professionaliteit en kwaliteit</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4E0301">
        <w:rPr>
          <w:rFonts w:asciiTheme="minorHAnsi" w:eastAsia="Times New Roman" w:hAnsiTheme="minorHAnsi" w:cstheme="minorHAnsi"/>
          <w:sz w:val="22"/>
          <w:szCs w:val="22"/>
        </w:rPr>
        <w:t>4</w:t>
      </w:r>
      <w:r w:rsidR="00574485">
        <w:rPr>
          <w:rFonts w:asciiTheme="minorHAnsi" w:eastAsia="Times New Roman" w:hAnsiTheme="minorHAnsi" w:cstheme="minorHAnsi"/>
          <w:sz w:val="22"/>
          <w:szCs w:val="22"/>
        </w:rPr>
        <w:t xml:space="preserve">0%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85429F" w:rsidRPr="007B7FD4" w:rsidRDefault="0085429F">
      <w:pPr>
        <w:spacing w:after="200" w:line="276" w:lineRule="auto"/>
        <w:rPr>
          <w:rFonts w:asciiTheme="minorHAnsi" w:hAnsiTheme="minorHAnsi" w:cstheme="minorHAnsi"/>
          <w:b/>
          <w:sz w:val="22"/>
          <w:szCs w:val="22"/>
        </w:rPr>
      </w:pPr>
      <w:bookmarkStart w:id="0" w:name="_GoBack"/>
      <w:bookmarkEnd w:id="0"/>
    </w:p>
    <w:p w:rsidR="00797BC0" w:rsidRDefault="00797BC0" w:rsidP="0085429F">
      <w:pPr>
        <w:spacing w:line="276" w:lineRule="auto"/>
        <w:rPr>
          <w:rFonts w:asciiTheme="minorHAnsi" w:hAnsiTheme="minorHAnsi" w:cstheme="minorHAnsi"/>
          <w:b/>
          <w:sz w:val="22"/>
          <w:szCs w:val="22"/>
        </w:rPr>
      </w:pPr>
    </w:p>
    <w:p w:rsidR="00797BC0" w:rsidRDefault="00797BC0" w:rsidP="0085429F">
      <w:pPr>
        <w:spacing w:line="276" w:lineRule="auto"/>
        <w:rPr>
          <w:rFonts w:asciiTheme="minorHAnsi" w:hAnsiTheme="minorHAnsi" w:cstheme="minorHAnsi"/>
          <w:b/>
          <w:sz w:val="22"/>
          <w:szCs w:val="22"/>
        </w:rPr>
      </w:pP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lastRenderedPageBreak/>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85"/>
        <w:gridCol w:w="6195"/>
      </w:tblGrid>
      <w:tr w:rsidR="001A1C32" w:rsidTr="007D3A54">
        <w:tc>
          <w:tcPr>
            <w:tcW w:w="993" w:type="dxa"/>
            <w:tcBorders>
              <w:top w:val="single" w:sz="4" w:space="0" w:color="auto"/>
              <w:left w:val="single" w:sz="4" w:space="0" w:color="auto"/>
              <w:bottom w:val="single" w:sz="4" w:space="0" w:color="auto"/>
              <w:right w:val="single" w:sz="4" w:space="0" w:color="auto"/>
            </w:tcBorders>
            <w:hideMark/>
          </w:tcPr>
          <w:p w:rsidR="001A1C32" w:rsidRDefault="001A1C32" w:rsidP="007D3A54">
            <w:pPr>
              <w:rPr>
                <w:b/>
              </w:rPr>
            </w:pPr>
            <w:r>
              <w:rPr>
                <w:b/>
              </w:rPr>
              <w:t xml:space="preserve">Tijd </w:t>
            </w:r>
          </w:p>
        </w:tc>
        <w:tc>
          <w:tcPr>
            <w:tcW w:w="1885" w:type="dxa"/>
            <w:tcBorders>
              <w:top w:val="single" w:sz="4" w:space="0" w:color="auto"/>
              <w:left w:val="single" w:sz="4" w:space="0" w:color="auto"/>
              <w:bottom w:val="single" w:sz="4" w:space="0" w:color="auto"/>
              <w:right w:val="single" w:sz="4" w:space="0" w:color="auto"/>
            </w:tcBorders>
            <w:hideMark/>
          </w:tcPr>
          <w:p w:rsidR="001A1C32" w:rsidRDefault="001A1C32" w:rsidP="007D3A54">
            <w:pPr>
              <w:rPr>
                <w:b/>
              </w:rPr>
            </w:pPr>
            <w:r>
              <w:rPr>
                <w:b/>
              </w:rPr>
              <w:t>Onderdeel</w:t>
            </w:r>
          </w:p>
        </w:tc>
        <w:tc>
          <w:tcPr>
            <w:tcW w:w="6195" w:type="dxa"/>
            <w:tcBorders>
              <w:top w:val="single" w:sz="4" w:space="0" w:color="auto"/>
              <w:left w:val="single" w:sz="4" w:space="0" w:color="auto"/>
              <w:bottom w:val="single" w:sz="4" w:space="0" w:color="auto"/>
              <w:right w:val="single" w:sz="4" w:space="0" w:color="auto"/>
            </w:tcBorders>
            <w:hideMark/>
          </w:tcPr>
          <w:p w:rsidR="001A1C32" w:rsidRDefault="001A1C32" w:rsidP="007D3A54">
            <w:pPr>
              <w:rPr>
                <w:b/>
              </w:rPr>
            </w:pPr>
            <w:r>
              <w:rPr>
                <w:b/>
              </w:rPr>
              <w:t>Bijzonderheden</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8.00 – 8.15</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Welkom</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r>
              <w:t>Noteer voor aanvang van de lesdag deelnemers in de PowerPoint presentatie (verander ook datum)</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8.15 – 8.30</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Feedback geven en ontvangen</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8.30 – 10.00</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Casus</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r>
              <w:t>Incl. voorbereiden, opruimen en nabespreken</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 xml:space="preserve">10.00 – </w:t>
            </w:r>
          </w:p>
          <w:p w:rsidR="001A1C32" w:rsidRDefault="001A1C32" w:rsidP="007D3A54">
            <w:r>
              <w:t>10.15</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PAUZE</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 xml:space="preserve">10.15 – </w:t>
            </w:r>
          </w:p>
          <w:p w:rsidR="001A1C32" w:rsidRDefault="001A1C32" w:rsidP="007D3A54">
            <w:r>
              <w:t>11.45</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Casus</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r>
              <w:t>Incl. voorbereiden, opruimen en nabespreken</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11.45 – 12.15</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PAUZE</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12.15 –</w:t>
            </w:r>
          </w:p>
          <w:p w:rsidR="001A1C32" w:rsidRDefault="001A1C32" w:rsidP="007D3A54">
            <w:r>
              <w:t>13.00</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r>
              <w:t>Presentatie: Hybride voertuigen (ACH)</w:t>
            </w:r>
          </w:p>
          <w:p w:rsidR="001A1C32" w:rsidRDefault="001A1C32" w:rsidP="007D3A54">
            <w:r>
              <w:t xml:space="preserve">Presentatie: </w:t>
            </w:r>
            <w:proofErr w:type="spellStart"/>
            <w:r>
              <w:t>Primary</w:t>
            </w:r>
            <w:proofErr w:type="spellEnd"/>
            <w:r>
              <w:t xml:space="preserve"> Survey (AVP) </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13.00 –</w:t>
            </w:r>
          </w:p>
          <w:p w:rsidR="001A1C32" w:rsidRDefault="001A1C32" w:rsidP="007D3A54">
            <w:r>
              <w:t>13.15</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proofErr w:type="spellStart"/>
            <w:r>
              <w:t>Highlights</w:t>
            </w:r>
            <w:proofErr w:type="spellEnd"/>
            <w:r>
              <w:t xml:space="preserve"> hybride voertuigen(AVP)</w:t>
            </w:r>
          </w:p>
          <w:p w:rsidR="001A1C32" w:rsidRDefault="001A1C32" w:rsidP="007D3A54">
            <w:proofErr w:type="spellStart"/>
            <w:r>
              <w:t>Highlights</w:t>
            </w:r>
            <w:proofErr w:type="spellEnd"/>
            <w:r>
              <w:t xml:space="preserve"> </w:t>
            </w:r>
            <w:proofErr w:type="spellStart"/>
            <w:r>
              <w:t>primary</w:t>
            </w:r>
            <w:proofErr w:type="spellEnd"/>
            <w:r>
              <w:t xml:space="preserve"> survey (ACH)</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13.15 –</w:t>
            </w:r>
          </w:p>
          <w:p w:rsidR="001A1C32" w:rsidRDefault="001A1C32" w:rsidP="007D3A54">
            <w:r>
              <w:t>13.30</w:t>
            </w:r>
          </w:p>
        </w:tc>
        <w:tc>
          <w:tcPr>
            <w:tcW w:w="1885" w:type="dxa"/>
            <w:tcBorders>
              <w:top w:val="single" w:sz="4" w:space="0" w:color="auto"/>
              <w:left w:val="single" w:sz="4" w:space="0" w:color="auto"/>
              <w:bottom w:val="single" w:sz="4" w:space="0" w:color="auto"/>
              <w:right w:val="single" w:sz="4" w:space="0" w:color="auto"/>
            </w:tcBorders>
          </w:tcPr>
          <w:p w:rsidR="001A1C32" w:rsidRDefault="001A1C32" w:rsidP="007D3A54">
            <w:r>
              <w:t>PAUZE</w:t>
            </w:r>
          </w:p>
        </w:tc>
        <w:tc>
          <w:tcPr>
            <w:tcW w:w="6195" w:type="dxa"/>
            <w:tcBorders>
              <w:top w:val="single" w:sz="4" w:space="0" w:color="auto"/>
              <w:left w:val="single" w:sz="4" w:space="0" w:color="auto"/>
              <w:bottom w:val="single" w:sz="4" w:space="0" w:color="auto"/>
              <w:right w:val="single" w:sz="4" w:space="0" w:color="auto"/>
            </w:tcBorders>
          </w:tcPr>
          <w:p w:rsidR="001A1C32" w:rsidRDefault="001A1C32" w:rsidP="007D3A54"/>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13.30 –</w:t>
            </w:r>
          </w:p>
          <w:p w:rsidR="001A1C32" w:rsidRDefault="001A1C32" w:rsidP="007D3A54">
            <w:r>
              <w:t>14.00</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r>
              <w:t>Station 1: Verrichtingen oefenen voorkomend bij trauma letsel</w:t>
            </w:r>
          </w:p>
          <w:p w:rsidR="001A1C32" w:rsidRDefault="001A1C32" w:rsidP="007D3A54">
            <w:r>
              <w:t>Station 2: Presentatie Thoraxletsel</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14.00 –</w:t>
            </w:r>
          </w:p>
          <w:p w:rsidR="001A1C32" w:rsidRDefault="001A1C32" w:rsidP="007D3A54">
            <w:r>
              <w:t>14.30</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r>
              <w:t xml:space="preserve">Station 1: </w:t>
            </w:r>
            <w:proofErr w:type="spellStart"/>
            <w:r>
              <w:t>Table</w:t>
            </w:r>
            <w:proofErr w:type="spellEnd"/>
            <w:r>
              <w:t xml:space="preserve"> top Incident management</w:t>
            </w:r>
          </w:p>
          <w:p w:rsidR="001A1C32" w:rsidRDefault="001A1C32" w:rsidP="007D3A54">
            <w:r>
              <w:t>Station 2: Presentatie Fracturen en luxaties</w:t>
            </w:r>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14.30 –</w:t>
            </w:r>
          </w:p>
          <w:p w:rsidR="001A1C32" w:rsidRDefault="001A1C32" w:rsidP="007D3A54">
            <w:r>
              <w:t>14.45</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r>
              <w:t xml:space="preserve">Take Home </w:t>
            </w:r>
            <w:proofErr w:type="spellStart"/>
            <w:r>
              <w:t>message</w:t>
            </w:r>
            <w:proofErr w:type="spellEnd"/>
          </w:p>
        </w:tc>
      </w:tr>
      <w:tr w:rsidR="001A1C32" w:rsidTr="007D3A54">
        <w:tc>
          <w:tcPr>
            <w:tcW w:w="993" w:type="dxa"/>
            <w:tcBorders>
              <w:top w:val="single" w:sz="4" w:space="0" w:color="auto"/>
              <w:left w:val="single" w:sz="4" w:space="0" w:color="auto"/>
              <w:bottom w:val="single" w:sz="4" w:space="0" w:color="auto"/>
              <w:right w:val="single" w:sz="4" w:space="0" w:color="auto"/>
            </w:tcBorders>
          </w:tcPr>
          <w:p w:rsidR="001A1C32" w:rsidRDefault="001A1C32" w:rsidP="007D3A54">
            <w:r>
              <w:t>14.45 –</w:t>
            </w:r>
          </w:p>
          <w:p w:rsidR="001A1C32" w:rsidRDefault="001A1C32" w:rsidP="007D3A54">
            <w:r>
              <w:t>15.00</w:t>
            </w:r>
          </w:p>
        </w:tc>
        <w:tc>
          <w:tcPr>
            <w:tcW w:w="8080" w:type="dxa"/>
            <w:gridSpan w:val="2"/>
            <w:tcBorders>
              <w:top w:val="single" w:sz="4" w:space="0" w:color="auto"/>
              <w:left w:val="single" w:sz="4" w:space="0" w:color="auto"/>
              <w:bottom w:val="single" w:sz="4" w:space="0" w:color="auto"/>
              <w:right w:val="single" w:sz="4" w:space="0" w:color="auto"/>
            </w:tcBorders>
          </w:tcPr>
          <w:p w:rsidR="001A1C32" w:rsidRDefault="001A1C32" w:rsidP="007D3A54">
            <w:r>
              <w:t>Evaluatie en afsluiting</w:t>
            </w:r>
          </w:p>
        </w:tc>
      </w:tr>
    </w:tbl>
    <w:p w:rsidR="001A1C32" w:rsidRDefault="001A1C32" w:rsidP="0085429F">
      <w:pPr>
        <w:spacing w:line="276" w:lineRule="auto"/>
        <w:rPr>
          <w:rFonts w:asciiTheme="minorHAnsi" w:hAnsiTheme="minorHAnsi" w:cstheme="minorHAnsi"/>
          <w:b/>
          <w:sz w:val="22"/>
          <w:szCs w:val="22"/>
        </w:rPr>
      </w:pPr>
    </w:p>
    <w:p w:rsidR="00541F1C" w:rsidRPr="007B7FD4" w:rsidRDefault="00541F1C" w:rsidP="0085429F">
      <w:pPr>
        <w:spacing w:line="276" w:lineRule="auto"/>
        <w:rPr>
          <w:rFonts w:asciiTheme="minorHAnsi" w:hAnsiTheme="minorHAnsi" w:cstheme="minorHAnsi"/>
          <w:b/>
          <w:sz w:val="22"/>
          <w:szCs w:val="22"/>
        </w:rPr>
      </w:pPr>
    </w:p>
    <w:p w:rsidR="007B7FD4" w:rsidRPr="00F436D6" w:rsidRDefault="00F436D6" w:rsidP="007B7FD4">
      <w:pPr>
        <w:rPr>
          <w:rFonts w:asciiTheme="minorHAnsi" w:hAnsiTheme="minorHAnsi" w:cstheme="minorHAnsi"/>
          <w:b/>
          <w:sz w:val="22"/>
          <w:szCs w:val="22"/>
        </w:rPr>
      </w:pPr>
      <w:r w:rsidRPr="00F436D6">
        <w:rPr>
          <w:rFonts w:asciiTheme="minorHAnsi" w:hAnsiTheme="minorHAnsi" w:cstheme="minorHAnsi"/>
          <w:b/>
          <w:sz w:val="22"/>
          <w:szCs w:val="22"/>
        </w:rPr>
        <w:t>Toelichting programma:</w:t>
      </w:r>
      <w:r w:rsidR="0002663A">
        <w:rPr>
          <w:rFonts w:asciiTheme="minorHAnsi" w:hAnsiTheme="minorHAnsi" w:cstheme="minorHAnsi"/>
          <w:b/>
          <w:sz w:val="22"/>
          <w:szCs w:val="22"/>
        </w:rPr>
        <w:t xml:space="preserve"> </w:t>
      </w:r>
    </w:p>
    <w:p w:rsidR="0085429F" w:rsidRPr="007B7FD4" w:rsidRDefault="0085429F" w:rsidP="0085429F">
      <w:pPr>
        <w:spacing w:line="276" w:lineRule="auto"/>
        <w:rPr>
          <w:rFonts w:asciiTheme="minorHAnsi" w:hAnsiTheme="minorHAnsi" w:cstheme="minorHAnsi"/>
          <w:b/>
          <w:sz w:val="22"/>
          <w:szCs w:val="22"/>
        </w:rPr>
      </w:pP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Gebruikte bronnen:</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Boeken</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(V)LPA 8.1, Ambulancezorg Nederland, juni 2016</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Regionale RAVHM protocollen</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r>
      <w:proofErr w:type="spellStart"/>
      <w:r w:rsidRPr="00A40F73">
        <w:rPr>
          <w:rFonts w:asciiTheme="minorHAnsi" w:hAnsiTheme="minorHAnsi" w:cstheme="minorHAnsi"/>
          <w:sz w:val="22"/>
          <w:szCs w:val="22"/>
        </w:rPr>
        <w:t>ProActive</w:t>
      </w:r>
      <w:proofErr w:type="spellEnd"/>
      <w:r w:rsidRPr="00A40F73">
        <w:rPr>
          <w:rFonts w:asciiTheme="minorHAnsi" w:hAnsiTheme="minorHAnsi" w:cstheme="minorHAnsi"/>
          <w:sz w:val="22"/>
          <w:szCs w:val="22"/>
        </w:rPr>
        <w:t xml:space="preserve"> </w:t>
      </w:r>
      <w:proofErr w:type="spellStart"/>
      <w:r w:rsidRPr="00A40F73">
        <w:rPr>
          <w:rFonts w:asciiTheme="minorHAnsi" w:hAnsiTheme="minorHAnsi" w:cstheme="minorHAnsi"/>
          <w:sz w:val="22"/>
          <w:szCs w:val="22"/>
        </w:rPr>
        <w:t>Nursing</w:t>
      </w:r>
      <w:proofErr w:type="spellEnd"/>
      <w:r w:rsidRPr="00A40F73">
        <w:rPr>
          <w:rFonts w:asciiTheme="minorHAnsi" w:hAnsiTheme="minorHAnsi" w:cstheme="minorHAnsi"/>
          <w:sz w:val="22"/>
          <w:szCs w:val="22"/>
        </w:rPr>
        <w:t>; klinisch redeneren in zes stappen, Marc Bakker, 2013</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PHTLS, NEAMT, 2016</w:t>
      </w:r>
    </w:p>
    <w:p w:rsidR="00A40F73" w:rsidRPr="00A40F73" w:rsidRDefault="00A40F73" w:rsidP="00A40F73">
      <w:pPr>
        <w:spacing w:line="276" w:lineRule="auto"/>
        <w:ind w:left="705" w:hanging="705"/>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Deskundigheidsgebied en eindtermen Ambulanceverpleegkundige, CZO Ambulanceverpleegkundige, 2012</w:t>
      </w:r>
    </w:p>
    <w:p w:rsidR="00A40F73" w:rsidRPr="00A40F73" w:rsidRDefault="00A40F73" w:rsidP="00A40F73">
      <w:pPr>
        <w:spacing w:line="276" w:lineRule="auto"/>
        <w:rPr>
          <w:rFonts w:asciiTheme="minorHAnsi" w:hAnsiTheme="minorHAnsi" w:cstheme="minorHAnsi"/>
          <w:sz w:val="22"/>
          <w:szCs w:val="22"/>
        </w:rPr>
      </w:pP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Website(s)</w:t>
      </w:r>
    </w:p>
    <w:p w:rsidR="00A40F73" w:rsidRPr="00A40F73" w:rsidRDefault="00A40F73" w:rsidP="00A40F73">
      <w:pPr>
        <w:spacing w:line="276" w:lineRule="auto"/>
        <w:rPr>
          <w:rFonts w:asciiTheme="minorHAnsi" w:hAnsiTheme="minorHAnsi" w:cstheme="minorHAnsi"/>
          <w:sz w:val="22"/>
          <w:szCs w:val="22"/>
        </w:rPr>
      </w:pPr>
      <w:bookmarkStart w:id="1" w:name="_Hlk511815468"/>
      <w:r w:rsidRPr="00A40F73">
        <w:rPr>
          <w:rFonts w:asciiTheme="minorHAnsi" w:hAnsiTheme="minorHAnsi" w:cstheme="minorHAnsi"/>
          <w:sz w:val="22"/>
          <w:szCs w:val="22"/>
        </w:rPr>
        <w:t>-</w:t>
      </w:r>
      <w:r w:rsidRPr="00A40F73">
        <w:rPr>
          <w:rFonts w:asciiTheme="minorHAnsi" w:hAnsiTheme="minorHAnsi" w:cstheme="minorHAnsi"/>
          <w:sz w:val="22"/>
          <w:szCs w:val="22"/>
        </w:rPr>
        <w:tab/>
        <w:t>http://werkenbijravhm.nl/video/ (video’s verrichtingen ambulancezorg)</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https://www.ifv.nl/kennisplein/veilig-optreden-bij-moderne-voertuigen</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w:t>
      </w:r>
      <w:r w:rsidRPr="00A40F73">
        <w:rPr>
          <w:rFonts w:asciiTheme="minorHAnsi" w:hAnsiTheme="minorHAnsi" w:cstheme="minorHAnsi"/>
          <w:sz w:val="22"/>
          <w:szCs w:val="22"/>
        </w:rPr>
        <w:tab/>
        <w:t>https://www.incidentmanagement.nl/</w:t>
      </w:r>
    </w:p>
    <w:bookmarkEnd w:id="1"/>
    <w:p w:rsidR="00A40F73" w:rsidRPr="00A40F73" w:rsidRDefault="00A40F73" w:rsidP="00A40F73">
      <w:pPr>
        <w:spacing w:line="276" w:lineRule="auto"/>
        <w:rPr>
          <w:rFonts w:asciiTheme="minorHAnsi" w:hAnsiTheme="minorHAnsi" w:cstheme="minorHAnsi"/>
          <w:sz w:val="22"/>
          <w:szCs w:val="22"/>
        </w:rPr>
      </w:pP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t>App</w:t>
      </w:r>
    </w:p>
    <w:p w:rsidR="00A40F73" w:rsidRPr="00A40F73" w:rsidRDefault="00A40F73" w:rsidP="00A40F73">
      <w:pPr>
        <w:spacing w:line="276" w:lineRule="auto"/>
        <w:rPr>
          <w:rFonts w:asciiTheme="minorHAnsi" w:hAnsiTheme="minorHAnsi" w:cstheme="minorHAnsi"/>
          <w:sz w:val="22"/>
          <w:szCs w:val="22"/>
        </w:rPr>
      </w:pPr>
      <w:r w:rsidRPr="00A40F73">
        <w:rPr>
          <w:rFonts w:asciiTheme="minorHAnsi" w:hAnsiTheme="minorHAnsi" w:cstheme="minorHAnsi"/>
          <w:sz w:val="22"/>
          <w:szCs w:val="22"/>
        </w:rPr>
        <w:lastRenderedPageBreak/>
        <w:t>-</w:t>
      </w:r>
      <w:r w:rsidRPr="00A40F73">
        <w:rPr>
          <w:rFonts w:asciiTheme="minorHAnsi" w:hAnsiTheme="minorHAnsi" w:cstheme="minorHAnsi"/>
          <w:sz w:val="22"/>
          <w:szCs w:val="22"/>
        </w:rPr>
        <w:tab/>
        <w:t>Incident Manager</w:t>
      </w:r>
    </w:p>
    <w:sectPr w:rsidR="00A40F73" w:rsidRPr="00A4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0AA"/>
    <w:rsid w:val="0002663A"/>
    <w:rsid w:val="001A1C32"/>
    <w:rsid w:val="001B4B2B"/>
    <w:rsid w:val="002255DF"/>
    <w:rsid w:val="002B605F"/>
    <w:rsid w:val="00393AA3"/>
    <w:rsid w:val="004E0301"/>
    <w:rsid w:val="00541F1C"/>
    <w:rsid w:val="00574485"/>
    <w:rsid w:val="006A2FD7"/>
    <w:rsid w:val="006F7BF4"/>
    <w:rsid w:val="00725AE2"/>
    <w:rsid w:val="007530CC"/>
    <w:rsid w:val="00797BC0"/>
    <w:rsid w:val="007B7FD4"/>
    <w:rsid w:val="0085429F"/>
    <w:rsid w:val="009144D8"/>
    <w:rsid w:val="009233F9"/>
    <w:rsid w:val="00A40F73"/>
    <w:rsid w:val="00AD186A"/>
    <w:rsid w:val="00AE2AD7"/>
    <w:rsid w:val="00B47764"/>
    <w:rsid w:val="00BA2081"/>
    <w:rsid w:val="00C9175F"/>
    <w:rsid w:val="00D950AA"/>
    <w:rsid w:val="00DB6683"/>
    <w:rsid w:val="00E92CB0"/>
    <w:rsid w:val="00EE1081"/>
    <w:rsid w:val="00F436D6"/>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449A"/>
  <w15:docId w15:val="{B1C7FD51-CDA2-4926-848B-B13652A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D76BEB1A</Template>
  <TotalTime>117</TotalTime>
  <Pages>3</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27</cp:revision>
  <dcterms:created xsi:type="dcterms:W3CDTF">2013-01-15T12:32:00Z</dcterms:created>
  <dcterms:modified xsi:type="dcterms:W3CDTF">2018-04-18T09:59:00Z</dcterms:modified>
</cp:coreProperties>
</file>